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3D9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01"/>
        <w:jc w:val="left"/>
        <w:textAlignment w:val="auto"/>
        <w:rPr>
          <w:rFonts w:hint="eastAsia"/>
        </w:rPr>
      </w:pPr>
      <w:r>
        <w:rPr>
          <w:rFonts w:hint="eastAsia" w:ascii="Times New Roman" w:hAnsi="Times New Roman" w:eastAsia="黑体" w:cs="Times New Roman"/>
          <w:spacing w:val="-1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pacing w:val="-1"/>
          <w:sz w:val="32"/>
          <w:szCs w:val="32"/>
          <w:lang w:val="en-US" w:eastAsia="zh-CN"/>
        </w:rPr>
        <w:t>2</w:t>
      </w:r>
    </w:p>
    <w:p w14:paraId="1B882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jc w:val="center"/>
        <w:textAlignment w:val="auto"/>
        <w:rPr>
          <w:rFonts w:hint="eastAsia" w:ascii="黑体" w:hAnsi="黑体" w:eastAsia="黑体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“金微课”推荐作品信息表</w:t>
      </w:r>
    </w:p>
    <w:p w14:paraId="217C9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textAlignment w:val="auto"/>
        <w:rPr>
          <w:rFonts w:hint="eastAsia" w:ascii="楷体" w:hAnsi="楷体" w:eastAsia="楷体" w:cs="楷体"/>
          <w:b/>
          <w:bCs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</w:rPr>
        <w:t>学校网络思政工作职能部门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</w:rPr>
        <w:t>盖章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</w:rPr>
        <w:t>：</w:t>
      </w:r>
      <w:r>
        <w:rPr>
          <w:rFonts w:hint="eastAsia"/>
          <w:sz w:val="24"/>
          <w:szCs w:val="24"/>
          <w:lang w:val="en-US" w:eastAsia="zh-CN"/>
        </w:rPr>
        <w:t>/</w:t>
      </w:r>
    </w:p>
    <w:tbl>
      <w:tblPr>
        <w:tblStyle w:val="6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552"/>
        <w:gridCol w:w="1818"/>
        <w:gridCol w:w="3000"/>
      </w:tblGrid>
      <w:tr w14:paraId="0F128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1384" w:type="dxa"/>
            <w:vAlign w:val="center"/>
          </w:tcPr>
          <w:p w14:paraId="49B204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2552" w:type="dxa"/>
            <w:vAlign w:val="center"/>
          </w:tcPr>
          <w:p w14:paraId="23462103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南通大学杏林学院</w:t>
            </w:r>
          </w:p>
        </w:tc>
        <w:tc>
          <w:tcPr>
            <w:tcW w:w="1818" w:type="dxa"/>
            <w:vAlign w:val="center"/>
          </w:tcPr>
          <w:p w14:paraId="7FD3BF9D">
            <w:pPr>
              <w:snapToGrid w:val="0"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学校网络思政</w:t>
            </w:r>
          </w:p>
          <w:p w14:paraId="6E9845FD"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工作职能部门</w:t>
            </w:r>
          </w:p>
        </w:tc>
        <w:tc>
          <w:tcPr>
            <w:tcW w:w="3000" w:type="dxa"/>
            <w:vAlign w:val="center"/>
          </w:tcPr>
          <w:p w14:paraId="6F48BCCA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党群工作处</w:t>
            </w:r>
          </w:p>
        </w:tc>
      </w:tr>
      <w:tr w14:paraId="617D7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384" w:type="dxa"/>
            <w:vAlign w:val="center"/>
          </w:tcPr>
          <w:p w14:paraId="3BA1D90B">
            <w:pPr>
              <w:jc w:val="center"/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552" w:type="dxa"/>
            <w:vAlign w:val="center"/>
          </w:tcPr>
          <w:p w14:paraId="572FA57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818" w:type="dxa"/>
            <w:vAlign w:val="center"/>
          </w:tcPr>
          <w:p w14:paraId="5A8CABF9">
            <w:pPr>
              <w:jc w:val="center"/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联系人职务</w:t>
            </w:r>
          </w:p>
        </w:tc>
        <w:tc>
          <w:tcPr>
            <w:tcW w:w="3000" w:type="dxa"/>
            <w:vAlign w:val="center"/>
          </w:tcPr>
          <w:p w14:paraId="36CAA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67C6F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1384" w:type="dxa"/>
            <w:vAlign w:val="center"/>
          </w:tcPr>
          <w:p w14:paraId="07000D5F"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联系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2552" w:type="dxa"/>
            <w:vAlign w:val="center"/>
          </w:tcPr>
          <w:p w14:paraId="648DF766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818" w:type="dxa"/>
            <w:vAlign w:val="center"/>
          </w:tcPr>
          <w:p w14:paraId="4F0250D4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000" w:type="dxa"/>
            <w:vAlign w:val="center"/>
          </w:tcPr>
          <w:p w14:paraId="2D761426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379DC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 w14:paraId="5F540C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参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赛</w:t>
            </w:r>
          </w:p>
          <w:p w14:paraId="159D3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7370" w:type="dxa"/>
            <w:gridSpan w:val="3"/>
            <w:vAlign w:val="center"/>
          </w:tcPr>
          <w:p w14:paraId="0AF7A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思想理论教育和价值引领</w:t>
            </w:r>
          </w:p>
          <w:p w14:paraId="46630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网络思想政治教育</w:t>
            </w:r>
          </w:p>
          <w:p w14:paraId="1BAB2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国家安全教育</w:t>
            </w:r>
            <w:bookmarkStart w:id="1" w:name="_GoBack"/>
            <w:bookmarkEnd w:id="1"/>
          </w:p>
          <w:p w14:paraId="42717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铸牢中华民族共同体意识   </w:t>
            </w:r>
          </w:p>
          <w:p w14:paraId="23DD6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人工智能与思想政治教育的深度融合</w:t>
            </w:r>
          </w:p>
          <w:p w14:paraId="424C0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自拟主题</w:t>
            </w:r>
          </w:p>
        </w:tc>
      </w:tr>
      <w:tr w14:paraId="1296B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4" w:type="dxa"/>
            <w:vAlign w:val="center"/>
          </w:tcPr>
          <w:p w14:paraId="284283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bookmarkStart w:id="0" w:name="_Hlk119267206"/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2552" w:type="dxa"/>
            <w:vAlign w:val="center"/>
          </w:tcPr>
          <w:p w14:paraId="1B8AFA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14:paraId="420B84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作者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000" w:type="dxa"/>
            <w:vAlign w:val="center"/>
          </w:tcPr>
          <w:p w14:paraId="7DA58D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bookmarkEnd w:id="0"/>
      <w:tr w14:paraId="02D21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4" w:type="dxa"/>
            <w:vAlign w:val="center"/>
          </w:tcPr>
          <w:p w14:paraId="42F2E1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作者</w:t>
            </w:r>
          </w:p>
          <w:p w14:paraId="546FF5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2552" w:type="dxa"/>
            <w:vAlign w:val="center"/>
          </w:tcPr>
          <w:p w14:paraId="3397B2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14:paraId="7CAFF2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作者所在部门</w:t>
            </w:r>
          </w:p>
        </w:tc>
        <w:tc>
          <w:tcPr>
            <w:tcW w:w="3000" w:type="dxa"/>
            <w:vAlign w:val="center"/>
          </w:tcPr>
          <w:p w14:paraId="49BBE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1DB7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8" w:hRule="atLeast"/>
        </w:trPr>
        <w:tc>
          <w:tcPr>
            <w:tcW w:w="1384" w:type="dxa"/>
            <w:vAlign w:val="center"/>
          </w:tcPr>
          <w:p w14:paraId="598EF5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课程概述</w:t>
            </w:r>
          </w:p>
        </w:tc>
        <w:tc>
          <w:tcPr>
            <w:tcW w:w="7370" w:type="dxa"/>
            <w:gridSpan w:val="3"/>
            <w:vAlign w:val="center"/>
          </w:tcPr>
          <w:p w14:paraId="4F3D44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color w:val="808080"/>
                <w:sz w:val="24"/>
                <w:szCs w:val="24"/>
              </w:rPr>
            </w:pPr>
          </w:p>
          <w:p w14:paraId="5E69B1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" w:hAnsi="仿宋" w:eastAsia="仿宋" w:cs="仿宋"/>
                <w:color w:val="767171" w:themeColor="background2" w:themeShade="80"/>
                <w:sz w:val="24"/>
                <w:szCs w:val="24"/>
              </w:rPr>
            </w:pPr>
          </w:p>
          <w:p w14:paraId="455CA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color w:val="767171" w:themeColor="background2" w:themeShade="80"/>
                <w:sz w:val="24"/>
                <w:szCs w:val="24"/>
              </w:rPr>
            </w:pPr>
          </w:p>
          <w:p w14:paraId="628302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color w:val="767171" w:themeColor="background2" w:themeShade="8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767171" w:themeColor="background2" w:themeShade="80"/>
                <w:sz w:val="24"/>
                <w:szCs w:val="24"/>
              </w:rPr>
              <w:t>（不超过3</w:t>
            </w:r>
            <w:r>
              <w:rPr>
                <w:rFonts w:ascii="仿宋" w:hAnsi="仿宋" w:eastAsia="仿宋" w:cs="仿宋"/>
                <w:color w:val="767171" w:themeColor="background2" w:themeShade="80"/>
                <w:sz w:val="24"/>
                <w:szCs w:val="24"/>
              </w:rPr>
              <w:t>00</w:t>
            </w:r>
            <w:r>
              <w:rPr>
                <w:rFonts w:hint="eastAsia" w:ascii="仿宋" w:hAnsi="仿宋" w:eastAsia="仿宋" w:cs="仿宋"/>
                <w:color w:val="767171" w:themeColor="background2" w:themeShade="80"/>
                <w:sz w:val="24"/>
                <w:szCs w:val="24"/>
              </w:rPr>
              <w:t>字）</w:t>
            </w:r>
          </w:p>
          <w:p w14:paraId="7B669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color w:val="767171" w:themeColor="background2" w:themeShade="80"/>
                <w:sz w:val="24"/>
                <w:szCs w:val="24"/>
              </w:rPr>
            </w:pPr>
          </w:p>
          <w:p w14:paraId="3074EFC6">
            <w:pPr>
              <w:pStyle w:val="2"/>
              <w:rPr>
                <w:rFonts w:hint="eastAsia"/>
              </w:rPr>
            </w:pPr>
          </w:p>
          <w:p w14:paraId="133B3D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</w:tbl>
    <w:p w14:paraId="7DE9AE8D">
      <w:pPr>
        <w:widowControl/>
        <w:spacing w:line="480" w:lineRule="exact"/>
        <w:jc w:val="left"/>
        <w:rPr>
          <w:rFonts w:hint="eastAsia" w:ascii="Times New Roman" w:hAnsi="Times New Roman" w:eastAsia="仿宋_GB2312"/>
          <w:kern w:val="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